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A4" w:rsidRPr="00C55661" w:rsidRDefault="00213713" w:rsidP="00064AA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-582930</wp:posOffset>
            </wp:positionV>
            <wp:extent cx="1868170" cy="1390015"/>
            <wp:effectExtent l="0" t="0" r="0" b="63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AA4" w:rsidRPr="00C55661">
        <w:rPr>
          <w:b/>
          <w:bCs/>
        </w:rPr>
        <w:t>DECRETO LEGISLATIVO 14 settembre 2015, n. 148:</w:t>
      </w:r>
    </w:p>
    <w:p w:rsidR="00D341C9" w:rsidRPr="00C55661" w:rsidRDefault="00064AA4" w:rsidP="00D341C9">
      <w:pPr>
        <w:rPr>
          <w:b/>
        </w:rPr>
      </w:pPr>
      <w:r w:rsidRPr="00C55661">
        <w:rPr>
          <w:b/>
        </w:rPr>
        <w:t xml:space="preserve">Art. 22-bis (Proroga del periodo di cassa integrazione guadagni straordinaria per riorganizzazione o crisi aziendale). </w:t>
      </w:r>
    </w:p>
    <w:p w:rsidR="00064AA4" w:rsidRPr="001D088C" w:rsidRDefault="00064AA4" w:rsidP="00D341C9">
      <w:pPr>
        <w:jc w:val="center"/>
        <w:rPr>
          <w:b/>
          <w:bCs/>
          <w:color w:val="FF0000"/>
        </w:rPr>
      </w:pPr>
      <w:r w:rsidRPr="001D088C">
        <w:rPr>
          <w:b/>
          <w:bCs/>
          <w:color w:val="FF0000"/>
        </w:rPr>
        <w:t>Nota del</w:t>
      </w:r>
      <w:r w:rsidR="004C1B5D" w:rsidRPr="001D088C">
        <w:rPr>
          <w:b/>
          <w:bCs/>
          <w:color w:val="FF0000"/>
        </w:rPr>
        <w:t xml:space="preserve">la UIL - </w:t>
      </w:r>
      <w:r w:rsidRPr="001D088C">
        <w:rPr>
          <w:b/>
          <w:bCs/>
          <w:color w:val="FF0000"/>
        </w:rPr>
        <w:t xml:space="preserve"> servizio politiche attive e passive del lavoro</w:t>
      </w:r>
    </w:p>
    <w:p w:rsidR="004C1B5D" w:rsidRPr="001D088C" w:rsidRDefault="004C1B5D" w:rsidP="00D341C9">
      <w:pPr>
        <w:jc w:val="center"/>
        <w:rPr>
          <w:b/>
          <w:bCs/>
          <w:color w:val="FF0000"/>
        </w:rPr>
      </w:pPr>
    </w:p>
    <w:p w:rsidR="00064AA4" w:rsidRPr="00C55661" w:rsidRDefault="00D341C9" w:rsidP="00064AA4">
      <w:pPr>
        <w:rPr>
          <w:b/>
        </w:rPr>
      </w:pPr>
      <w:r>
        <w:t xml:space="preserve">Nella giornata di ieri il </w:t>
      </w:r>
      <w:r w:rsidRPr="00C55661">
        <w:rPr>
          <w:b/>
        </w:rPr>
        <w:t>Ministero del Lavoro</w:t>
      </w:r>
      <w:r>
        <w:t xml:space="preserve"> ha pubblicato una </w:t>
      </w:r>
      <w:r w:rsidRPr="00C55661">
        <w:rPr>
          <w:b/>
        </w:rPr>
        <w:t>circolare, la n° 2 del 7 febbraio 2018</w:t>
      </w:r>
      <w:r>
        <w:t xml:space="preserve">, che fornisce le prime indicazioni e chiarimenti sulla corretta applicazione della norma contenuta nella  </w:t>
      </w:r>
      <w:r w:rsidRPr="00C55661">
        <w:rPr>
          <w:b/>
        </w:rPr>
        <w:t>Legge di bilancio del 2018</w:t>
      </w:r>
      <w:r>
        <w:t xml:space="preserve"> con la quale, </w:t>
      </w:r>
      <w:r w:rsidR="00064AA4">
        <w:t>al comma 133 dell’art. 1,</w:t>
      </w:r>
      <w:r>
        <w:t xml:space="preserve"> si </w:t>
      </w:r>
      <w:r w:rsidR="00064AA4" w:rsidRPr="00064AA4">
        <w:t xml:space="preserve"> </w:t>
      </w:r>
      <w:r w:rsidR="00064AA4" w:rsidRPr="00C55661">
        <w:rPr>
          <w:b/>
        </w:rPr>
        <w:t xml:space="preserve">introduce  nel corpo del  D.Lgs. 148/2015 un </w:t>
      </w:r>
      <w:r w:rsidR="00064AA4" w:rsidRPr="00C55661">
        <w:t>nuovo</w:t>
      </w:r>
      <w:r w:rsidR="00064AA4" w:rsidRPr="00C55661">
        <w:rPr>
          <w:b/>
        </w:rPr>
        <w:t xml:space="preserve"> articolo, il 22 bis</w:t>
      </w:r>
      <w:r w:rsidR="00064AA4" w:rsidRPr="00064AA4">
        <w:t xml:space="preserve">, </w:t>
      </w:r>
      <w:r w:rsidR="00064AA4" w:rsidRPr="00C55661">
        <w:rPr>
          <w:b/>
        </w:rPr>
        <w:t>il quale</w:t>
      </w:r>
      <w:r w:rsidR="00064AA4" w:rsidRPr="00064AA4">
        <w:t>, ri</w:t>
      </w:r>
      <w:r w:rsidR="00064AA4">
        <w:t>correndo alcune specifiche condi</w:t>
      </w:r>
      <w:r w:rsidR="00064AA4" w:rsidRPr="00064AA4">
        <w:t xml:space="preserve">zioni, </w:t>
      </w:r>
      <w:r w:rsidR="00064AA4" w:rsidRPr="00C55661">
        <w:rPr>
          <w:b/>
        </w:rPr>
        <w:t>permette di utilizzare l’integrazione salariale straordinaria in deroga ai limiti</w:t>
      </w:r>
      <w:r w:rsidR="00C55661">
        <w:rPr>
          <w:b/>
        </w:rPr>
        <w:t xml:space="preserve"> temporali</w:t>
      </w:r>
      <w:r w:rsidR="00064AA4" w:rsidRPr="00C55661">
        <w:rPr>
          <w:b/>
        </w:rPr>
        <w:t xml:space="preserve"> stabiliti dallo stesso Decreto Legislativo agli artt. 4 e 22.</w:t>
      </w:r>
    </w:p>
    <w:p w:rsidR="00064AA4" w:rsidRPr="00064AA4" w:rsidRDefault="00064AA4" w:rsidP="00064AA4">
      <w:r w:rsidRPr="00064AA4">
        <w:t xml:space="preserve">Nello specifico, </w:t>
      </w:r>
      <w:r w:rsidRPr="00837A0B">
        <w:rPr>
          <w:b/>
        </w:rPr>
        <w:t>per gli anni 2018 e 2019</w:t>
      </w:r>
      <w:r w:rsidRPr="00064AA4">
        <w:t xml:space="preserve">, le imprese che abbiano un </w:t>
      </w:r>
      <w:r w:rsidRPr="00D341C9">
        <w:rPr>
          <w:b/>
        </w:rPr>
        <w:t>organico superiore alle 100 unità</w:t>
      </w:r>
      <w:r w:rsidRPr="00064AA4">
        <w:t xml:space="preserve"> lavorative e che presentino una </w:t>
      </w:r>
      <w:r w:rsidRPr="00C55661">
        <w:rPr>
          <w:b/>
        </w:rPr>
        <w:t xml:space="preserve">rilevanza economica strategica, </w:t>
      </w:r>
      <w:r w:rsidRPr="004C1B5D">
        <w:rPr>
          <w:b/>
          <w:u w:val="single"/>
        </w:rPr>
        <w:t>anche a livello Regionale</w:t>
      </w:r>
      <w:r w:rsidRPr="00064AA4">
        <w:t xml:space="preserve">,  </w:t>
      </w:r>
      <w:r w:rsidRPr="00C55661">
        <w:rPr>
          <w:b/>
        </w:rPr>
        <w:t>potranno beneficiare di un ulteriore periodo integrazione salariale</w:t>
      </w:r>
      <w:r w:rsidR="00D341C9" w:rsidRPr="00C55661">
        <w:rPr>
          <w:b/>
        </w:rPr>
        <w:t>, in deroga alle durate massime</w:t>
      </w:r>
      <w:r w:rsidR="00D341C9">
        <w:t>,</w:t>
      </w:r>
      <w:r w:rsidRPr="00064AA4">
        <w:t xml:space="preserve"> per superare o affrontare situazioni di particolare rilevanza sotto il profilo occupazionale o gestionale.</w:t>
      </w:r>
    </w:p>
    <w:p w:rsidR="00064AA4" w:rsidRPr="00064AA4" w:rsidRDefault="00064AA4" w:rsidP="00064AA4">
      <w:r w:rsidRPr="00064AA4">
        <w:t>La deroga</w:t>
      </w:r>
      <w:r w:rsidR="00837A0B">
        <w:t xml:space="preserve">, </w:t>
      </w:r>
      <w:r w:rsidR="00837A0B" w:rsidRPr="00C55661">
        <w:rPr>
          <w:b/>
        </w:rPr>
        <w:t>finanziata fino ad un massimo</w:t>
      </w:r>
      <w:r w:rsidR="00837A0B">
        <w:t xml:space="preserve"> di </w:t>
      </w:r>
      <w:r w:rsidR="00837A0B" w:rsidRPr="00837A0B">
        <w:rPr>
          <w:b/>
        </w:rPr>
        <w:t>cento milioni di euro per ciascun anno</w:t>
      </w:r>
      <w:r w:rsidR="00837A0B">
        <w:t>,</w:t>
      </w:r>
      <w:r w:rsidRPr="00064AA4">
        <w:t xml:space="preserve"> </w:t>
      </w:r>
      <w:r w:rsidRPr="004C1B5D">
        <w:rPr>
          <w:b/>
        </w:rPr>
        <w:t>è sub</w:t>
      </w:r>
      <w:r w:rsidR="00420362" w:rsidRPr="004C1B5D">
        <w:rPr>
          <w:b/>
        </w:rPr>
        <w:t>ordinata ad un accordo in sede g</w:t>
      </w:r>
      <w:r w:rsidRPr="004C1B5D">
        <w:rPr>
          <w:b/>
        </w:rPr>
        <w:t>overnativa</w:t>
      </w:r>
      <w:r w:rsidRPr="00064AA4">
        <w:t>, a</w:t>
      </w:r>
      <w:r w:rsidR="00F260B0">
        <w:t>lla presenza del Ministero del l</w:t>
      </w:r>
      <w:r w:rsidRPr="00064AA4">
        <w:t>avo</w:t>
      </w:r>
      <w:r>
        <w:t>ro e della Regione</w:t>
      </w:r>
      <w:r w:rsidRPr="00064AA4">
        <w:t xml:space="preserve"> dove l’impresa è ubicata, </w:t>
      </w:r>
      <w:r w:rsidR="00F260B0">
        <w:t>ovvero di più</w:t>
      </w:r>
      <w:r>
        <w:t xml:space="preserve"> Regioni in caso di impresa </w:t>
      </w:r>
      <w:r w:rsidR="00F260B0">
        <w:t>multi localizzata</w:t>
      </w:r>
      <w:r>
        <w:t>.</w:t>
      </w:r>
    </w:p>
    <w:p w:rsidR="00064AA4" w:rsidRPr="00064AA4" w:rsidRDefault="00C55661" w:rsidP="00064AA4">
      <w:r>
        <w:rPr>
          <w:b/>
        </w:rPr>
        <w:t>Sono previste due tipologie</w:t>
      </w:r>
      <w:r w:rsidR="00064AA4" w:rsidRPr="00C55661">
        <w:rPr>
          <w:b/>
        </w:rPr>
        <w:t xml:space="preserve"> di casistiche</w:t>
      </w:r>
      <w:r w:rsidR="00064AA4" w:rsidRPr="00064AA4">
        <w:t>:</w:t>
      </w:r>
    </w:p>
    <w:p w:rsidR="00064AA4" w:rsidRPr="00064AA4" w:rsidRDefault="00064AA4" w:rsidP="00064AA4">
      <w:pPr>
        <w:numPr>
          <w:ilvl w:val="0"/>
          <w:numId w:val="1"/>
        </w:numPr>
      </w:pPr>
      <w:r w:rsidRPr="00C55661">
        <w:rPr>
          <w:b/>
        </w:rPr>
        <w:t xml:space="preserve">Proroga </w:t>
      </w:r>
      <w:r w:rsidRPr="00064AA4">
        <w:t xml:space="preserve">dell’intervento straordinario </w:t>
      </w:r>
      <w:r w:rsidRPr="00C55661">
        <w:rPr>
          <w:b/>
        </w:rPr>
        <w:t>sino ad un</w:t>
      </w:r>
      <w:r w:rsidRPr="00064AA4">
        <w:rPr>
          <w:b/>
        </w:rPr>
        <w:t xml:space="preserve"> massimo di 12 mesi</w:t>
      </w:r>
      <w:r w:rsidRPr="00064AA4">
        <w:t xml:space="preserve"> nei casi in cui il programma di riorganizzazione aziendale è caratterizzato da investimenti complessi, non attuabili nel limite temporale di durata del trattamento straordinario, ovvero  il medesimo programma contenga piani di recupero occupazionale (mediante la ricollocazione delle risorse umane) e azioni di riqualificazione non attuabili nei limiti di durata previsti dalla norma (</w:t>
      </w:r>
      <w:r w:rsidRPr="00064AA4">
        <w:rPr>
          <w:b/>
        </w:rPr>
        <w:t>Riorganizzazione</w:t>
      </w:r>
      <w:r w:rsidRPr="00064AA4">
        <w:t>).</w:t>
      </w:r>
    </w:p>
    <w:p w:rsidR="00064AA4" w:rsidRPr="00064AA4" w:rsidRDefault="00064AA4" w:rsidP="00064AA4">
      <w:pPr>
        <w:numPr>
          <w:ilvl w:val="0"/>
          <w:numId w:val="1"/>
        </w:numPr>
      </w:pPr>
      <w:r w:rsidRPr="00C55661">
        <w:rPr>
          <w:b/>
        </w:rPr>
        <w:t xml:space="preserve">Proroga </w:t>
      </w:r>
      <w:r w:rsidRPr="00064AA4">
        <w:t xml:space="preserve">dell’intervento straordinario </w:t>
      </w:r>
      <w:r w:rsidRPr="00C55661">
        <w:rPr>
          <w:b/>
        </w:rPr>
        <w:t>sino ad un</w:t>
      </w:r>
      <w:r w:rsidRPr="00064AA4">
        <w:t xml:space="preserve"> </w:t>
      </w:r>
      <w:r w:rsidRPr="00064AA4">
        <w:rPr>
          <w:b/>
        </w:rPr>
        <w:t>massimo di sei mesi</w:t>
      </w:r>
      <w:r w:rsidR="00D341C9">
        <w:t xml:space="preserve"> nei casi in cui sia  previsto</w:t>
      </w:r>
      <w:r w:rsidRPr="00064AA4">
        <w:t xml:space="preserve"> sia  un piano di risanamento economico complesso</w:t>
      </w:r>
      <w:r w:rsidR="00D341C9">
        <w:t>,</w:t>
      </w:r>
      <w:r w:rsidRPr="00064AA4">
        <w:t xml:space="preserve"> che interventi di salvaguardia occupazionale e continuità aziendale non realizzabili nel limite dei 12 mesi previsti dalla normativa (</w:t>
      </w:r>
      <w:r w:rsidRPr="00064AA4">
        <w:rPr>
          <w:b/>
        </w:rPr>
        <w:t>Crisi</w:t>
      </w:r>
      <w:r w:rsidRPr="00064AA4">
        <w:t>).</w:t>
      </w:r>
    </w:p>
    <w:p w:rsidR="00064AA4" w:rsidRPr="00FD7E26" w:rsidRDefault="00F260B0" w:rsidP="00064AA4">
      <w:pPr>
        <w:rPr>
          <w:i/>
        </w:rPr>
      </w:pPr>
      <w:r w:rsidRPr="00FD7E26">
        <w:rPr>
          <w:i/>
        </w:rPr>
        <w:t>Troverete ai punti 3.1. e 3.2. della circolare il dettaglio delle casistiche previste per la prosecuzione di un programma di riorganizzazione aziendale e per la prosecuzione di quello per crisi e delle azioni previste per la salvaguardia dei livelli occupazionali e per l’implementazione delle politiche attive.</w:t>
      </w:r>
    </w:p>
    <w:p w:rsidR="00F260B0" w:rsidRDefault="00F260B0" w:rsidP="00064AA4">
      <w:r>
        <w:t xml:space="preserve">Va sottolineato che entrambi </w:t>
      </w:r>
      <w:r w:rsidRPr="00C55661">
        <w:rPr>
          <w:b/>
        </w:rPr>
        <w:t>gli interventi</w:t>
      </w:r>
      <w:r w:rsidR="00A07C96" w:rsidRPr="00C55661">
        <w:rPr>
          <w:b/>
        </w:rPr>
        <w:t xml:space="preserve"> possono “intendersi quale</w:t>
      </w:r>
      <w:r w:rsidR="00A07C96">
        <w:t xml:space="preserve"> </w:t>
      </w:r>
      <w:r w:rsidR="00A07C96" w:rsidRPr="00A07C96">
        <w:rPr>
          <w:b/>
        </w:rPr>
        <w:t>prosecuzione, anche senza soluzione di continuità, di un trattamento di Cigs già riconosciuto”</w:t>
      </w:r>
      <w:r w:rsidR="00A07C96">
        <w:t>.</w:t>
      </w:r>
    </w:p>
    <w:p w:rsidR="004C1B5D" w:rsidRDefault="004C1B5D" w:rsidP="00064AA4">
      <w:pPr>
        <w:rPr>
          <w:b/>
        </w:rPr>
      </w:pPr>
    </w:p>
    <w:p w:rsidR="00A07C96" w:rsidRDefault="00A07C96" w:rsidP="00064AA4">
      <w:r w:rsidRPr="00C55661">
        <w:rPr>
          <w:b/>
        </w:rPr>
        <w:lastRenderedPageBreak/>
        <w:t>La circolare prevede però</w:t>
      </w:r>
      <w:r w:rsidR="004C1B5D">
        <w:rPr>
          <w:b/>
        </w:rPr>
        <w:t>,</w:t>
      </w:r>
      <w:r w:rsidRPr="00C55661">
        <w:rPr>
          <w:b/>
        </w:rPr>
        <w:t xml:space="preserve"> anche</w:t>
      </w:r>
      <w:r>
        <w:t xml:space="preserve"> la fattispecie nella quale il </w:t>
      </w:r>
      <w:r w:rsidRPr="00A07C96">
        <w:rPr>
          <w:b/>
        </w:rPr>
        <w:t>trattamento di Cigs sia già concluso</w:t>
      </w:r>
      <w:r w:rsidR="00420362">
        <w:rPr>
          <w:b/>
        </w:rPr>
        <w:t>,</w:t>
      </w:r>
      <w:r>
        <w:t xml:space="preserve"> nel corso del 2017</w:t>
      </w:r>
      <w:r w:rsidR="00420362">
        <w:t>,</w:t>
      </w:r>
      <w:r>
        <w:t xml:space="preserve"> </w:t>
      </w:r>
      <w:r w:rsidRPr="00A07C96">
        <w:rPr>
          <w:b/>
        </w:rPr>
        <w:t>ma sia ancora in corso il piano di risanamento</w:t>
      </w:r>
      <w:r>
        <w:t xml:space="preserve"> previsto dal vecchio programma di interventi.</w:t>
      </w:r>
    </w:p>
    <w:p w:rsidR="00A07C96" w:rsidRPr="00420362" w:rsidRDefault="00A07C96" w:rsidP="00064AA4">
      <w:pPr>
        <w:rPr>
          <w:i/>
        </w:rPr>
      </w:pPr>
      <w:r w:rsidRPr="00420362">
        <w:rPr>
          <w:i/>
        </w:rPr>
        <w:t xml:space="preserve">In quest’ultimo caso la circolare non definisce periodi temporali o modalità con le quali certificare la prosecuzione delle </w:t>
      </w:r>
      <w:r w:rsidR="00420362" w:rsidRPr="00420362">
        <w:rPr>
          <w:i/>
        </w:rPr>
        <w:t>“azioni di risanamento”, argomenti questi che, molto probabilmente, saranno oggetto di verifica congiunta nella fase dell’accordo “governativo”.</w:t>
      </w:r>
    </w:p>
    <w:p w:rsidR="00D341C9" w:rsidRDefault="00420362" w:rsidP="00064AA4">
      <w:r w:rsidRPr="00C55661">
        <w:rPr>
          <w:b/>
        </w:rPr>
        <w:t>Una ulteriore novità</w:t>
      </w:r>
      <w:r w:rsidR="00837A0B">
        <w:t xml:space="preserve">, peraltro non presente nella norma ma introdotta dalla circolare, </w:t>
      </w:r>
      <w:r>
        <w:t xml:space="preserve"> è rappresentata dalla necessità di </w:t>
      </w:r>
      <w:r w:rsidRPr="00C55661">
        <w:rPr>
          <w:b/>
        </w:rPr>
        <w:t xml:space="preserve">quantificare, </w:t>
      </w:r>
      <w:r w:rsidRPr="00C3064F">
        <w:rPr>
          <w:b/>
          <w:u w:val="single"/>
        </w:rPr>
        <w:t>in sede di stipula dell’accordo</w:t>
      </w:r>
      <w:r w:rsidRPr="00C55661">
        <w:rPr>
          <w:b/>
        </w:rPr>
        <w:t>, l’onere finanziario dell’intervento di Cigs</w:t>
      </w:r>
      <w:r w:rsidR="00837A0B">
        <w:t xml:space="preserve"> con l’obiettivo di attivare una sorta di monitoraggio preventivo della spesa visto che la misura ha una capienza limitata a 100 milioni di euro per ciascuno degli anni 2018 e 2019.</w:t>
      </w:r>
    </w:p>
    <w:p w:rsidR="00837A0B" w:rsidRPr="00C55661" w:rsidRDefault="00837A0B" w:rsidP="00064AA4">
      <w:pPr>
        <w:rPr>
          <w:b/>
        </w:rPr>
      </w:pPr>
      <w:r w:rsidRPr="00C55661">
        <w:rPr>
          <w:b/>
        </w:rPr>
        <w:t>Infine, in merito alla modalità di presentazione dell’istanza</w:t>
      </w:r>
      <w:r w:rsidR="00FD7E26">
        <w:t>, si conferma</w:t>
      </w:r>
      <w:r>
        <w:t xml:space="preserve"> la consueta procedura telematica</w:t>
      </w:r>
      <w:r w:rsidR="00FD7E26">
        <w:t xml:space="preserve"> (cigsonline) ed inoltre, </w:t>
      </w:r>
      <w:r w:rsidR="00FD7E26" w:rsidRPr="00C55661">
        <w:rPr>
          <w:b/>
        </w:rPr>
        <w:t>in virtù del fatto che l’intervento è sottoposto ad una preventivo accordo in sede governativa</w:t>
      </w:r>
      <w:r w:rsidR="00FD7E26">
        <w:t xml:space="preserve"> alla presenza della regione/i interessata/e, </w:t>
      </w:r>
      <w:r w:rsidR="00FD7E26" w:rsidRPr="00C55661">
        <w:rPr>
          <w:b/>
        </w:rPr>
        <w:t>non trovano applicazione le ordinarie procedure di consultazione previste.</w:t>
      </w:r>
    </w:p>
    <w:p w:rsidR="00FD7E26" w:rsidRDefault="00FD7E26" w:rsidP="00FD7E26">
      <w:pPr>
        <w:rPr>
          <w:i/>
        </w:rPr>
      </w:pPr>
      <w:r w:rsidRPr="00C3064F">
        <w:rPr>
          <w:i/>
          <w:u w:val="single"/>
        </w:rPr>
        <w:t xml:space="preserve">Questo particolare tipo di intervento , come accennato in una nostra precedente nota, è stato uno dei punti oggetto del confronto con il Governo e, sebbene sconti una durata limitata ad un biennio, </w:t>
      </w:r>
      <w:r w:rsidRPr="00C3064F">
        <w:rPr>
          <w:b/>
          <w:i/>
          <w:u w:val="single"/>
        </w:rPr>
        <w:t>dimostra la consapevolezza da parte anche del legislatore che in alcuni casi i limiti posti alle durate delle integrazioni salariali sono insufficienti a sostenere l’imprese in una fase di ristrutturazione o di crisi complessa ed articolata.</w:t>
      </w:r>
      <w:r w:rsidRPr="00C3064F">
        <w:rPr>
          <w:i/>
          <w:u w:val="single"/>
        </w:rPr>
        <w:t xml:space="preserve"> Il provvedimento va dunque nella direzione</w:t>
      </w:r>
      <w:r w:rsidR="00C3064F">
        <w:rPr>
          <w:i/>
          <w:u w:val="single"/>
        </w:rPr>
        <w:t xml:space="preserve">, </w:t>
      </w:r>
      <w:r w:rsidR="00C3064F" w:rsidRPr="00C3064F">
        <w:rPr>
          <w:b/>
          <w:i/>
          <w:u w:val="single"/>
        </w:rPr>
        <w:t>come fortemente richiesto dalla UIL</w:t>
      </w:r>
      <w:r w:rsidR="00C3064F">
        <w:rPr>
          <w:i/>
          <w:u w:val="single"/>
        </w:rPr>
        <w:t xml:space="preserve">, </w:t>
      </w:r>
      <w:r w:rsidRPr="00C3064F">
        <w:rPr>
          <w:i/>
          <w:u w:val="single"/>
        </w:rPr>
        <w:t xml:space="preserve"> di una maggiore flessibilità degli interventi e del superamento delle tante rigidità introdotte dal D.Lgs. 148/2015, flessibilità che a nostro avviso dovrebbero trovare una propria collocazione strutturale nel decreto </w:t>
      </w:r>
      <w:r w:rsidR="00C55661" w:rsidRPr="00C3064F">
        <w:rPr>
          <w:i/>
          <w:u w:val="single"/>
        </w:rPr>
        <w:t>legislativo</w:t>
      </w:r>
      <w:r>
        <w:rPr>
          <w:i/>
        </w:rPr>
        <w:t>.</w:t>
      </w:r>
      <w:r w:rsidRPr="00FD7E26">
        <w:rPr>
          <w:i/>
        </w:rPr>
        <w:t xml:space="preserve"> </w:t>
      </w:r>
    </w:p>
    <w:p w:rsidR="00C55661" w:rsidRPr="00213713" w:rsidRDefault="00C55661" w:rsidP="00FD7E26">
      <w:pPr>
        <w:rPr>
          <w:b/>
        </w:rPr>
      </w:pPr>
      <w:r w:rsidRPr="00213713">
        <w:rPr>
          <w:b/>
        </w:rPr>
        <w:t>Roma 8 febbraio 2018</w:t>
      </w:r>
    </w:p>
    <w:p w:rsidR="00FD7E26" w:rsidRPr="00420362" w:rsidRDefault="00FD7E26" w:rsidP="00064AA4"/>
    <w:p w:rsidR="00D341C9" w:rsidRPr="00420362" w:rsidRDefault="00D341C9" w:rsidP="00064AA4"/>
    <w:p w:rsidR="00D341C9" w:rsidRDefault="00D341C9" w:rsidP="00064AA4">
      <w:pPr>
        <w:rPr>
          <w:b/>
          <w:i/>
        </w:rPr>
      </w:pPr>
    </w:p>
    <w:p w:rsidR="00D341C9" w:rsidRDefault="00D341C9" w:rsidP="00064AA4">
      <w:pPr>
        <w:rPr>
          <w:b/>
          <w:i/>
        </w:rPr>
      </w:pPr>
    </w:p>
    <w:p w:rsidR="00064AA4" w:rsidRPr="00064AA4" w:rsidRDefault="00064AA4"/>
    <w:sectPr w:rsidR="00064AA4" w:rsidRPr="00064A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CA" w:rsidRDefault="002227CA" w:rsidP="004C1B5D">
      <w:pPr>
        <w:spacing w:after="0" w:line="240" w:lineRule="auto"/>
      </w:pPr>
      <w:r>
        <w:separator/>
      </w:r>
    </w:p>
  </w:endnote>
  <w:endnote w:type="continuationSeparator" w:id="0">
    <w:p w:rsidR="002227CA" w:rsidRDefault="002227CA" w:rsidP="004C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268402"/>
      <w:docPartObj>
        <w:docPartGallery w:val="Page Numbers (Bottom of Page)"/>
        <w:docPartUnique/>
      </w:docPartObj>
    </w:sdtPr>
    <w:sdtEndPr/>
    <w:sdtContent>
      <w:p w:rsidR="004C1B5D" w:rsidRDefault="004C1B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6D">
          <w:rPr>
            <w:noProof/>
          </w:rPr>
          <w:t>1</w:t>
        </w:r>
        <w:r>
          <w:fldChar w:fldCharType="end"/>
        </w:r>
      </w:p>
    </w:sdtContent>
  </w:sdt>
  <w:p w:rsidR="004C1B5D" w:rsidRDefault="004C1B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CA" w:rsidRDefault="002227CA" w:rsidP="004C1B5D">
      <w:pPr>
        <w:spacing w:after="0" w:line="240" w:lineRule="auto"/>
      </w:pPr>
      <w:r>
        <w:separator/>
      </w:r>
    </w:p>
  </w:footnote>
  <w:footnote w:type="continuationSeparator" w:id="0">
    <w:p w:rsidR="002227CA" w:rsidRDefault="002227CA" w:rsidP="004C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44E5"/>
    <w:multiLevelType w:val="hybridMultilevel"/>
    <w:tmpl w:val="A52CF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A4"/>
    <w:rsid w:val="00064AA4"/>
    <w:rsid w:val="00184335"/>
    <w:rsid w:val="001D088C"/>
    <w:rsid w:val="00213713"/>
    <w:rsid w:val="002227CA"/>
    <w:rsid w:val="003B6D6D"/>
    <w:rsid w:val="00420362"/>
    <w:rsid w:val="004C1B5D"/>
    <w:rsid w:val="00837A0B"/>
    <w:rsid w:val="0090394F"/>
    <w:rsid w:val="00A07C96"/>
    <w:rsid w:val="00B2613B"/>
    <w:rsid w:val="00C3064F"/>
    <w:rsid w:val="00C55661"/>
    <w:rsid w:val="00D341C9"/>
    <w:rsid w:val="00F260B0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B5D"/>
  </w:style>
  <w:style w:type="paragraph" w:styleId="Pidipagina">
    <w:name w:val="footer"/>
    <w:basedOn w:val="Normale"/>
    <w:link w:val="PidipaginaCarattere"/>
    <w:uiPriority w:val="99"/>
    <w:unhideWhenUsed/>
    <w:rsid w:val="004C1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B5D"/>
  </w:style>
  <w:style w:type="paragraph" w:styleId="Pidipagina">
    <w:name w:val="footer"/>
    <w:basedOn w:val="Normale"/>
    <w:link w:val="PidipaginaCarattere"/>
    <w:uiPriority w:val="99"/>
    <w:unhideWhenUsed/>
    <w:rsid w:val="004C1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Polformazione</dc:creator>
  <cp:lastModifiedBy>Polformazione</cp:lastModifiedBy>
  <cp:revision>2</cp:revision>
  <cp:lastPrinted>2018-02-08T11:20:00Z</cp:lastPrinted>
  <dcterms:created xsi:type="dcterms:W3CDTF">2018-02-08T11:22:00Z</dcterms:created>
  <dcterms:modified xsi:type="dcterms:W3CDTF">2018-02-08T11:22:00Z</dcterms:modified>
</cp:coreProperties>
</file>